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A0" w:rsidRPr="000348C5" w:rsidRDefault="00410DA0" w:rsidP="007C32F0">
      <w:pPr>
        <w:spacing w:line="216" w:lineRule="auto"/>
        <w:ind w:hanging="142"/>
        <w:jc w:val="center"/>
        <w:rPr>
          <w:b/>
          <w:sz w:val="28"/>
          <w:szCs w:val="28"/>
        </w:rPr>
      </w:pPr>
      <w:bookmarkStart w:id="0" w:name="_GoBack"/>
      <w:r w:rsidRPr="000348C5">
        <w:rPr>
          <w:b/>
          <w:sz w:val="28"/>
          <w:szCs w:val="28"/>
        </w:rPr>
        <w:t>АНЦИРСКИЙ СЕЛЬСКИЙ СОВЕТ ДЕПУТАТОВ</w:t>
      </w:r>
    </w:p>
    <w:p w:rsidR="00410DA0" w:rsidRPr="000348C5" w:rsidRDefault="00410DA0" w:rsidP="007C32F0">
      <w:pPr>
        <w:spacing w:line="216" w:lineRule="auto"/>
        <w:jc w:val="center"/>
        <w:rPr>
          <w:b/>
          <w:sz w:val="28"/>
          <w:szCs w:val="28"/>
        </w:rPr>
      </w:pPr>
      <w:r w:rsidRPr="000348C5">
        <w:rPr>
          <w:b/>
          <w:sz w:val="28"/>
          <w:szCs w:val="28"/>
        </w:rPr>
        <w:t>КАНСКОГО РАЙОНА</w:t>
      </w:r>
    </w:p>
    <w:p w:rsidR="00410DA0" w:rsidRPr="000348C5" w:rsidRDefault="00410DA0" w:rsidP="007C32F0">
      <w:pPr>
        <w:spacing w:line="216" w:lineRule="auto"/>
        <w:jc w:val="center"/>
        <w:rPr>
          <w:b/>
          <w:sz w:val="28"/>
          <w:szCs w:val="28"/>
        </w:rPr>
      </w:pPr>
      <w:r w:rsidRPr="000348C5">
        <w:rPr>
          <w:b/>
          <w:sz w:val="28"/>
          <w:szCs w:val="28"/>
        </w:rPr>
        <w:t>КРАСНОЯРСКОГО КРАЯ</w:t>
      </w:r>
    </w:p>
    <w:p w:rsidR="00410DA0" w:rsidRPr="000348C5" w:rsidRDefault="00410DA0" w:rsidP="007C32F0">
      <w:pPr>
        <w:spacing w:line="216" w:lineRule="auto"/>
        <w:jc w:val="center"/>
        <w:rPr>
          <w:b/>
          <w:sz w:val="28"/>
          <w:szCs w:val="28"/>
        </w:rPr>
      </w:pPr>
    </w:p>
    <w:p w:rsidR="00410DA0" w:rsidRPr="000348C5" w:rsidRDefault="00410DA0" w:rsidP="007C32F0">
      <w:pPr>
        <w:spacing w:line="216" w:lineRule="auto"/>
        <w:jc w:val="center"/>
        <w:rPr>
          <w:b/>
          <w:sz w:val="28"/>
          <w:szCs w:val="28"/>
        </w:rPr>
      </w:pPr>
      <w:r w:rsidRPr="000348C5">
        <w:rPr>
          <w:b/>
          <w:sz w:val="28"/>
          <w:szCs w:val="28"/>
        </w:rPr>
        <w:t>РЕШЕНИЕ</w:t>
      </w:r>
    </w:p>
    <w:p w:rsidR="00410DA0" w:rsidRPr="000348C5" w:rsidRDefault="00410DA0" w:rsidP="007C32F0">
      <w:pPr>
        <w:spacing w:line="216" w:lineRule="auto"/>
        <w:jc w:val="center"/>
        <w:rPr>
          <w:b/>
          <w:sz w:val="28"/>
          <w:szCs w:val="28"/>
        </w:rPr>
      </w:pPr>
    </w:p>
    <w:p w:rsidR="00CD556B" w:rsidRDefault="00E07CA4" w:rsidP="00CD556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51D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</w:t>
      </w:r>
      <w:r w:rsidR="00410DA0" w:rsidRPr="000348C5">
        <w:rPr>
          <w:sz w:val="28"/>
          <w:szCs w:val="28"/>
        </w:rPr>
        <w:t>2</w:t>
      </w:r>
      <w:r>
        <w:rPr>
          <w:sz w:val="28"/>
          <w:szCs w:val="28"/>
        </w:rPr>
        <w:t xml:space="preserve">025 г.                       </w:t>
      </w:r>
      <w:r w:rsidR="00410DA0" w:rsidRPr="000348C5">
        <w:rPr>
          <w:sz w:val="28"/>
          <w:szCs w:val="28"/>
        </w:rPr>
        <w:t xml:space="preserve">с. </w:t>
      </w:r>
      <w:proofErr w:type="spellStart"/>
      <w:r w:rsidR="00410DA0" w:rsidRPr="000348C5">
        <w:rPr>
          <w:sz w:val="28"/>
          <w:szCs w:val="28"/>
        </w:rPr>
        <w:t>Анцирь</w:t>
      </w:r>
      <w:proofErr w:type="spellEnd"/>
      <w:r w:rsidR="00410DA0" w:rsidRPr="000348C5">
        <w:rPr>
          <w:sz w:val="28"/>
          <w:szCs w:val="28"/>
        </w:rPr>
        <w:t xml:space="preserve"> </w:t>
      </w:r>
      <w:r w:rsidR="00410DA0" w:rsidRPr="000348C5">
        <w:rPr>
          <w:sz w:val="28"/>
          <w:szCs w:val="28"/>
        </w:rPr>
        <w:tab/>
      </w:r>
      <w:r w:rsidR="00410DA0" w:rsidRPr="000348C5">
        <w:rPr>
          <w:sz w:val="28"/>
          <w:szCs w:val="28"/>
        </w:rPr>
        <w:tab/>
        <w:t xml:space="preserve">            </w:t>
      </w:r>
      <w:r w:rsidR="00E27B67" w:rsidRPr="000348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CD556B">
        <w:rPr>
          <w:sz w:val="28"/>
          <w:szCs w:val="28"/>
        </w:rPr>
        <w:t xml:space="preserve"> № </w:t>
      </w:r>
      <w:r>
        <w:rPr>
          <w:sz w:val="28"/>
          <w:szCs w:val="28"/>
        </w:rPr>
        <w:t>38-242</w:t>
      </w:r>
    </w:p>
    <w:p w:rsidR="00410DA0" w:rsidRPr="000348C5" w:rsidRDefault="00410DA0" w:rsidP="00CD556B">
      <w:pPr>
        <w:spacing w:line="216" w:lineRule="auto"/>
        <w:jc w:val="both"/>
        <w:rPr>
          <w:sz w:val="28"/>
          <w:szCs w:val="28"/>
        </w:rPr>
      </w:pPr>
      <w:r w:rsidRPr="000348C5">
        <w:rPr>
          <w:sz w:val="28"/>
          <w:szCs w:val="28"/>
        </w:rPr>
        <w:t xml:space="preserve">   </w:t>
      </w:r>
    </w:p>
    <w:p w:rsidR="00410DA0" w:rsidRPr="000348C5" w:rsidRDefault="00410DA0" w:rsidP="007C32F0">
      <w:pPr>
        <w:spacing w:line="216" w:lineRule="auto"/>
        <w:jc w:val="both"/>
        <w:rPr>
          <w:sz w:val="28"/>
          <w:szCs w:val="28"/>
        </w:rPr>
      </w:pPr>
      <w:r w:rsidRPr="000348C5">
        <w:rPr>
          <w:color w:val="000000"/>
          <w:sz w:val="28"/>
          <w:szCs w:val="28"/>
        </w:rPr>
        <w:t xml:space="preserve">О внесении изменений в решение </w:t>
      </w:r>
      <w:r w:rsidRPr="000348C5">
        <w:rPr>
          <w:sz w:val="28"/>
          <w:szCs w:val="28"/>
        </w:rPr>
        <w:t xml:space="preserve">Анцирского сельского Совета депутатов </w:t>
      </w:r>
      <w:r w:rsidRPr="000348C5">
        <w:rPr>
          <w:color w:val="000000"/>
          <w:sz w:val="28"/>
          <w:szCs w:val="28"/>
        </w:rPr>
        <w:t>от 28.09.2021 № 10-57 «</w:t>
      </w:r>
      <w:r w:rsidRPr="000348C5">
        <w:rPr>
          <w:sz w:val="28"/>
          <w:szCs w:val="28"/>
        </w:rPr>
        <w:t>О налоге на имущество физических лиц</w:t>
      </w:r>
      <w:r w:rsidRPr="000348C5">
        <w:rPr>
          <w:color w:val="000000"/>
          <w:sz w:val="28"/>
          <w:szCs w:val="28"/>
        </w:rPr>
        <w:t>»</w:t>
      </w:r>
    </w:p>
    <w:p w:rsidR="00410DA0" w:rsidRPr="000348C5" w:rsidRDefault="00410DA0" w:rsidP="007C32F0">
      <w:pPr>
        <w:spacing w:line="216" w:lineRule="auto"/>
        <w:jc w:val="both"/>
        <w:rPr>
          <w:bCs/>
          <w:sz w:val="28"/>
          <w:szCs w:val="28"/>
        </w:rPr>
      </w:pPr>
    </w:p>
    <w:p w:rsidR="00410DA0" w:rsidRPr="000348C5" w:rsidRDefault="00410DA0" w:rsidP="007C32F0">
      <w:pPr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0348C5">
        <w:rPr>
          <w:sz w:val="28"/>
          <w:szCs w:val="28"/>
        </w:rPr>
        <w:t xml:space="preserve">В соответствии с </w:t>
      </w:r>
      <w:hyperlink r:id="rId6" w:history="1">
        <w:r w:rsidRPr="000348C5">
          <w:rPr>
            <w:rStyle w:val="a3"/>
            <w:color w:val="auto"/>
            <w:sz w:val="28"/>
            <w:szCs w:val="28"/>
            <w:u w:val="none"/>
          </w:rPr>
          <w:t>главой 32 Налогового кодекса Российской Федерации</w:t>
        </w:r>
      </w:hyperlink>
      <w:r w:rsidRPr="000348C5">
        <w:rPr>
          <w:sz w:val="28"/>
          <w:szCs w:val="28"/>
        </w:rPr>
        <w:t xml:space="preserve">, </w:t>
      </w:r>
      <w:hyperlink r:id="rId7" w:history="1">
        <w:r w:rsidRPr="000348C5">
          <w:rPr>
            <w:rStyle w:val="a3"/>
            <w:color w:val="auto"/>
            <w:sz w:val="28"/>
            <w:szCs w:val="28"/>
            <w:u w:val="none"/>
          </w:rPr>
          <w:t>Федеральным законом от 06.10.2003 № 131-ФЗ</w:t>
        </w:r>
      </w:hyperlink>
      <w:r w:rsidRPr="000348C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0348C5">
          <w:rPr>
            <w:rStyle w:val="a3"/>
            <w:color w:val="auto"/>
            <w:sz w:val="28"/>
            <w:szCs w:val="28"/>
            <w:u w:val="none"/>
          </w:rPr>
          <w:t>Законом Красноярского края № 6-2108 от 01.11.2018 «</w:t>
        </w:r>
      </w:hyperlink>
      <w:r w:rsidRPr="000348C5">
        <w:rPr>
          <w:sz w:val="28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п.п.1.2 п.1</w:t>
      </w:r>
      <w:proofErr w:type="gramEnd"/>
      <w:r w:rsidRPr="000348C5">
        <w:rPr>
          <w:sz w:val="28"/>
          <w:szCs w:val="28"/>
        </w:rPr>
        <w:t xml:space="preserve"> ст.7, п.п.4 п.1 ст.21 Устава Анцирского сельсовета, </w:t>
      </w:r>
      <w:proofErr w:type="spellStart"/>
      <w:r w:rsidRPr="000348C5">
        <w:rPr>
          <w:sz w:val="28"/>
          <w:szCs w:val="28"/>
        </w:rPr>
        <w:t>Анцирский</w:t>
      </w:r>
      <w:proofErr w:type="spellEnd"/>
      <w:r w:rsidRPr="000348C5">
        <w:rPr>
          <w:sz w:val="28"/>
          <w:szCs w:val="28"/>
        </w:rPr>
        <w:t xml:space="preserve"> сельский Совет депутатов,</w:t>
      </w:r>
    </w:p>
    <w:p w:rsidR="00410DA0" w:rsidRPr="000348C5" w:rsidRDefault="00410DA0" w:rsidP="007C32F0">
      <w:pPr>
        <w:spacing w:line="216" w:lineRule="auto"/>
        <w:ind w:firstLine="709"/>
        <w:jc w:val="both"/>
        <w:rPr>
          <w:spacing w:val="40"/>
          <w:sz w:val="28"/>
          <w:szCs w:val="28"/>
        </w:rPr>
      </w:pPr>
      <w:r w:rsidRPr="000348C5">
        <w:rPr>
          <w:spacing w:val="40"/>
          <w:sz w:val="28"/>
          <w:szCs w:val="28"/>
        </w:rPr>
        <w:t>РЕШИЛ:</w:t>
      </w:r>
    </w:p>
    <w:p w:rsidR="00410DA0" w:rsidRPr="000348C5" w:rsidRDefault="00410DA0" w:rsidP="007C32F0">
      <w:pPr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0348C5">
        <w:rPr>
          <w:color w:val="000000"/>
          <w:sz w:val="28"/>
          <w:szCs w:val="28"/>
        </w:rPr>
        <w:t>1. Внести в решение Анцирского сельского Совета депутатов от 28.09.2021 № 10-57 «</w:t>
      </w:r>
      <w:r w:rsidRPr="000348C5">
        <w:rPr>
          <w:sz w:val="28"/>
          <w:szCs w:val="28"/>
        </w:rPr>
        <w:t>О налоге на имущество физических лиц</w:t>
      </w:r>
      <w:r w:rsidRPr="000348C5">
        <w:rPr>
          <w:color w:val="000000"/>
          <w:sz w:val="28"/>
          <w:szCs w:val="28"/>
        </w:rPr>
        <w:t>»</w:t>
      </w:r>
      <w:r w:rsidR="009E6D7C">
        <w:rPr>
          <w:color w:val="000000"/>
          <w:sz w:val="28"/>
          <w:szCs w:val="28"/>
        </w:rPr>
        <w:t xml:space="preserve"> (</w:t>
      </w:r>
      <w:r w:rsidR="000348C5" w:rsidRPr="000348C5">
        <w:rPr>
          <w:color w:val="000000"/>
          <w:sz w:val="28"/>
          <w:szCs w:val="28"/>
        </w:rPr>
        <w:t>в редакции от 17.11.2022г. № 17-107</w:t>
      </w:r>
      <w:r w:rsidR="009E6D7C">
        <w:rPr>
          <w:color w:val="000000"/>
          <w:sz w:val="28"/>
          <w:szCs w:val="28"/>
        </w:rPr>
        <w:t>)</w:t>
      </w:r>
      <w:r w:rsidRPr="000348C5">
        <w:rPr>
          <w:color w:val="000000"/>
          <w:sz w:val="28"/>
          <w:szCs w:val="28"/>
        </w:rPr>
        <w:t xml:space="preserve"> следующие дополнения и изменения:</w:t>
      </w:r>
    </w:p>
    <w:p w:rsidR="00410DA0" w:rsidRDefault="009E6D7C" w:rsidP="007C32F0">
      <w:pPr>
        <w:numPr>
          <w:ilvl w:val="1"/>
          <w:numId w:val="1"/>
        </w:numPr>
        <w:tabs>
          <w:tab w:val="left" w:pos="-142"/>
        </w:tabs>
        <w:spacing w:line="21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0DA0" w:rsidRPr="000348C5">
        <w:rPr>
          <w:sz w:val="28"/>
          <w:szCs w:val="28"/>
        </w:rPr>
        <w:t>троку 2 пункта 2</w:t>
      </w:r>
      <w:r w:rsidR="001B161C" w:rsidRPr="000348C5">
        <w:rPr>
          <w:sz w:val="28"/>
          <w:szCs w:val="28"/>
        </w:rPr>
        <w:t xml:space="preserve"> Решения</w:t>
      </w:r>
      <w:r w:rsidR="00410DA0" w:rsidRPr="000348C5">
        <w:rPr>
          <w:sz w:val="28"/>
          <w:szCs w:val="28"/>
        </w:rPr>
        <w:t xml:space="preserve">  изложить в следующей редакции:</w:t>
      </w:r>
    </w:p>
    <w:p w:rsidR="0080267D" w:rsidRPr="000348C5" w:rsidRDefault="00CD556B" w:rsidP="00CD556B">
      <w:pPr>
        <w:tabs>
          <w:tab w:val="left" w:pos="-142"/>
        </w:tabs>
        <w:spacing w:line="216" w:lineRule="auto"/>
        <w:ind w:left="851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</w:p>
    <w:tbl>
      <w:tblPr>
        <w:tblStyle w:val="a5"/>
        <w:tblW w:w="0" w:type="auto"/>
        <w:tblInd w:w="1101" w:type="dxa"/>
        <w:tblLook w:val="04A0"/>
      </w:tblPr>
      <w:tblGrid>
        <w:gridCol w:w="1134"/>
        <w:gridCol w:w="5811"/>
        <w:gridCol w:w="1418"/>
      </w:tblGrid>
      <w:tr w:rsidR="0080267D" w:rsidRPr="000348C5" w:rsidTr="00CD556B">
        <w:tc>
          <w:tcPr>
            <w:tcW w:w="1134" w:type="dxa"/>
          </w:tcPr>
          <w:p w:rsidR="0080267D" w:rsidRPr="000348C5" w:rsidRDefault="0080267D" w:rsidP="007C32F0">
            <w:pPr>
              <w:tabs>
                <w:tab w:val="center" w:pos="87"/>
              </w:tabs>
              <w:spacing w:line="216" w:lineRule="auto"/>
              <w:ind w:left="-709"/>
              <w:jc w:val="both"/>
              <w:rPr>
                <w:sz w:val="28"/>
                <w:szCs w:val="28"/>
              </w:rPr>
            </w:pPr>
            <w:r w:rsidRPr="000348C5">
              <w:rPr>
                <w:sz w:val="28"/>
                <w:szCs w:val="28"/>
              </w:rPr>
              <w:t>2</w:t>
            </w:r>
            <w:r w:rsidRPr="000348C5">
              <w:rPr>
                <w:sz w:val="28"/>
                <w:szCs w:val="28"/>
              </w:rPr>
              <w:tab/>
              <w:t>2.</w:t>
            </w:r>
          </w:p>
        </w:tc>
        <w:tc>
          <w:tcPr>
            <w:tcW w:w="5811" w:type="dxa"/>
          </w:tcPr>
          <w:p w:rsidR="0080267D" w:rsidRPr="000348C5" w:rsidRDefault="001B161C" w:rsidP="007C32F0">
            <w:pPr>
              <w:tabs>
                <w:tab w:val="left" w:pos="-142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0348C5">
              <w:rPr>
                <w:sz w:val="28"/>
                <w:szCs w:val="28"/>
              </w:rPr>
              <w:t>О</w:t>
            </w:r>
            <w:r w:rsidR="0080267D" w:rsidRPr="000348C5">
              <w:rPr>
                <w:sz w:val="28"/>
                <w:szCs w:val="28"/>
              </w:rPr>
              <w:t xml:space="preserve">бъекты налогообложения, включенные в перечень, определяемый в соответствии с пунктом 7 статьи 378.2 </w:t>
            </w:r>
            <w:r w:rsidR="000348C5" w:rsidRPr="000348C5">
              <w:rPr>
                <w:sz w:val="28"/>
                <w:szCs w:val="28"/>
              </w:rPr>
              <w:t xml:space="preserve"> </w:t>
            </w:r>
            <w:r w:rsidRPr="000348C5">
              <w:rPr>
                <w:sz w:val="28"/>
                <w:szCs w:val="28"/>
              </w:rPr>
              <w:t xml:space="preserve">Налогового </w:t>
            </w:r>
            <w:r w:rsidR="0080267D" w:rsidRPr="000348C5">
              <w:rPr>
                <w:sz w:val="28"/>
                <w:szCs w:val="28"/>
              </w:rPr>
              <w:t xml:space="preserve"> </w:t>
            </w:r>
            <w:r w:rsidR="00E27B67" w:rsidRPr="000348C5">
              <w:rPr>
                <w:sz w:val="28"/>
                <w:szCs w:val="28"/>
              </w:rPr>
              <w:t>К</w:t>
            </w:r>
            <w:r w:rsidR="0080267D" w:rsidRPr="000348C5">
              <w:rPr>
                <w:sz w:val="28"/>
                <w:szCs w:val="28"/>
              </w:rPr>
              <w:t>одекса</w:t>
            </w:r>
            <w:r w:rsidRPr="000348C5">
              <w:rPr>
                <w:sz w:val="28"/>
                <w:szCs w:val="28"/>
              </w:rPr>
              <w:t xml:space="preserve"> РФ, </w:t>
            </w:r>
            <w:r w:rsidR="0080267D" w:rsidRPr="000348C5">
              <w:rPr>
                <w:sz w:val="28"/>
                <w:szCs w:val="28"/>
              </w:rPr>
              <w:t>объект</w:t>
            </w:r>
            <w:r w:rsidRPr="000348C5">
              <w:rPr>
                <w:sz w:val="28"/>
                <w:szCs w:val="28"/>
              </w:rPr>
              <w:t>ы</w:t>
            </w:r>
            <w:r w:rsidR="0080267D" w:rsidRPr="000348C5">
              <w:rPr>
                <w:sz w:val="28"/>
                <w:szCs w:val="28"/>
              </w:rPr>
              <w:t xml:space="preserve"> налогообложения, предусмотренны</w:t>
            </w:r>
            <w:r w:rsidRPr="000348C5">
              <w:rPr>
                <w:sz w:val="28"/>
                <w:szCs w:val="28"/>
              </w:rPr>
              <w:t>е</w:t>
            </w:r>
            <w:r w:rsidR="0080267D" w:rsidRPr="000348C5">
              <w:rPr>
                <w:sz w:val="28"/>
                <w:szCs w:val="28"/>
              </w:rPr>
              <w:t xml:space="preserve">  абзацем вторым пункта 10 статьи 378.2 </w:t>
            </w:r>
            <w:r w:rsidRPr="000348C5">
              <w:rPr>
                <w:sz w:val="28"/>
                <w:szCs w:val="28"/>
              </w:rPr>
              <w:t>Налогового Кодекса РФ</w:t>
            </w:r>
          </w:p>
        </w:tc>
        <w:tc>
          <w:tcPr>
            <w:tcW w:w="1418" w:type="dxa"/>
          </w:tcPr>
          <w:p w:rsidR="0080267D" w:rsidRPr="000348C5" w:rsidRDefault="0080267D" w:rsidP="007C32F0">
            <w:pPr>
              <w:tabs>
                <w:tab w:val="left" w:pos="-142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0348C5">
              <w:rPr>
                <w:sz w:val="28"/>
                <w:szCs w:val="28"/>
              </w:rPr>
              <w:t>2,0</w:t>
            </w:r>
          </w:p>
        </w:tc>
      </w:tr>
      <w:tr w:rsidR="0080267D" w:rsidRPr="000348C5" w:rsidTr="00CD556B">
        <w:tc>
          <w:tcPr>
            <w:tcW w:w="1134" w:type="dxa"/>
          </w:tcPr>
          <w:p w:rsidR="0080267D" w:rsidRPr="000348C5" w:rsidRDefault="0080267D" w:rsidP="007C32F0">
            <w:pPr>
              <w:tabs>
                <w:tab w:val="left" w:pos="-142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0348C5">
              <w:rPr>
                <w:sz w:val="28"/>
                <w:szCs w:val="28"/>
              </w:rPr>
              <w:t>2.1</w:t>
            </w:r>
            <w:r w:rsidR="00E27B67" w:rsidRPr="000348C5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80267D" w:rsidRPr="000348C5" w:rsidRDefault="00E27B67" w:rsidP="007C32F0">
            <w:pPr>
              <w:tabs>
                <w:tab w:val="left" w:pos="-142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0348C5">
              <w:rPr>
                <w:color w:val="000000"/>
                <w:sz w:val="28"/>
                <w:szCs w:val="28"/>
                <w:shd w:val="clear" w:color="auto" w:fill="FFFFFF"/>
              </w:rPr>
              <w:t>объект</w:t>
            </w:r>
            <w:r w:rsidR="001B161C" w:rsidRPr="000348C5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0348C5">
              <w:rPr>
                <w:color w:val="000000"/>
                <w:sz w:val="28"/>
                <w:szCs w:val="28"/>
                <w:shd w:val="clear" w:color="auto" w:fill="FFFFFF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418" w:type="dxa"/>
          </w:tcPr>
          <w:p w:rsidR="0080267D" w:rsidRPr="000348C5" w:rsidRDefault="00E27B67" w:rsidP="007C32F0">
            <w:pPr>
              <w:tabs>
                <w:tab w:val="left" w:pos="-142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0348C5">
              <w:rPr>
                <w:sz w:val="28"/>
                <w:szCs w:val="28"/>
              </w:rPr>
              <w:t>2,5</w:t>
            </w:r>
          </w:p>
        </w:tc>
      </w:tr>
    </w:tbl>
    <w:p w:rsidR="00CD556B" w:rsidRDefault="00CD556B" w:rsidP="007C32F0">
      <w:pPr>
        <w:spacing w:line="21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»  </w:t>
      </w:r>
    </w:p>
    <w:p w:rsidR="00410DA0" w:rsidRPr="000348C5" w:rsidRDefault="00410DA0" w:rsidP="007C32F0">
      <w:pPr>
        <w:spacing w:line="216" w:lineRule="auto"/>
        <w:ind w:firstLine="851"/>
        <w:jc w:val="both"/>
        <w:rPr>
          <w:sz w:val="28"/>
          <w:szCs w:val="28"/>
        </w:rPr>
      </w:pPr>
      <w:r w:rsidRPr="000348C5">
        <w:rPr>
          <w:rFonts w:eastAsia="Calibri"/>
          <w:sz w:val="28"/>
          <w:szCs w:val="28"/>
          <w:lang w:eastAsia="en-US"/>
        </w:rPr>
        <w:t xml:space="preserve">2. </w:t>
      </w:r>
      <w:r w:rsidRPr="000348C5">
        <w:rPr>
          <w:sz w:val="28"/>
          <w:szCs w:val="28"/>
        </w:rPr>
        <w:t>Контроль за исполнением решения возложить на комиссию по экономической политике финансам и бюджету.</w:t>
      </w:r>
    </w:p>
    <w:p w:rsidR="00410DA0" w:rsidRPr="000348C5" w:rsidRDefault="00410DA0" w:rsidP="007C32F0">
      <w:pPr>
        <w:suppressAutoHyphens/>
        <w:spacing w:line="216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0348C5">
        <w:rPr>
          <w:sz w:val="28"/>
          <w:szCs w:val="28"/>
        </w:rPr>
        <w:t xml:space="preserve">3.  Настоящее </w:t>
      </w:r>
      <w:r w:rsidRPr="000348C5">
        <w:rPr>
          <w:sz w:val="28"/>
          <w:szCs w:val="28"/>
          <w:lang w:eastAsia="ar-SA"/>
        </w:rPr>
        <w:t xml:space="preserve">решение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0348C5">
        <w:rPr>
          <w:sz w:val="28"/>
          <w:szCs w:val="28"/>
          <w:lang w:eastAsia="ar-SA"/>
        </w:rPr>
        <w:t>Анциря</w:t>
      </w:r>
      <w:proofErr w:type="spellEnd"/>
      <w:r w:rsidRPr="000348C5">
        <w:rPr>
          <w:sz w:val="28"/>
          <w:szCs w:val="28"/>
          <w:lang w:eastAsia="ar-SA"/>
        </w:rPr>
        <w:t>»</w:t>
      </w:r>
      <w:r w:rsidRPr="000348C5">
        <w:rPr>
          <w:sz w:val="28"/>
          <w:szCs w:val="28"/>
        </w:rPr>
        <w:t xml:space="preserve">, </w:t>
      </w:r>
      <w:r w:rsidRPr="000348C5">
        <w:rPr>
          <w:color w:val="000000"/>
          <w:sz w:val="28"/>
          <w:szCs w:val="28"/>
          <w:lang w:eastAsia="ar-SA"/>
        </w:rPr>
        <w:t xml:space="preserve">и подлежит размещению на официальном сайте муниципального образования </w:t>
      </w:r>
      <w:proofErr w:type="spellStart"/>
      <w:r w:rsidRPr="000348C5">
        <w:rPr>
          <w:color w:val="000000"/>
          <w:sz w:val="28"/>
          <w:szCs w:val="28"/>
          <w:lang w:eastAsia="ar-SA"/>
        </w:rPr>
        <w:t>Анцирский</w:t>
      </w:r>
      <w:proofErr w:type="spellEnd"/>
      <w:r w:rsidRPr="000348C5">
        <w:rPr>
          <w:color w:val="000000"/>
          <w:sz w:val="28"/>
          <w:szCs w:val="28"/>
          <w:lang w:eastAsia="ar-SA"/>
        </w:rPr>
        <w:t xml:space="preserve"> сельсовет </w:t>
      </w:r>
      <w:proofErr w:type="spellStart"/>
      <w:r w:rsidRPr="000348C5">
        <w:rPr>
          <w:color w:val="000000"/>
          <w:sz w:val="28"/>
          <w:szCs w:val="28"/>
          <w:lang w:eastAsia="ar-SA"/>
        </w:rPr>
        <w:t>Канского</w:t>
      </w:r>
      <w:proofErr w:type="spellEnd"/>
      <w:r w:rsidRPr="000348C5">
        <w:rPr>
          <w:color w:val="000000"/>
          <w:sz w:val="28"/>
          <w:szCs w:val="28"/>
          <w:lang w:eastAsia="ar-SA"/>
        </w:rPr>
        <w:t xml:space="preserve"> района Красноярского края в информационно-телекоммуникационной сети «Интернет».</w:t>
      </w:r>
    </w:p>
    <w:tbl>
      <w:tblPr>
        <w:tblW w:w="9516" w:type="dxa"/>
        <w:tblInd w:w="108" w:type="dxa"/>
        <w:tblLook w:val="04A0"/>
      </w:tblPr>
      <w:tblGrid>
        <w:gridCol w:w="4536"/>
        <w:gridCol w:w="284"/>
        <w:gridCol w:w="4696"/>
      </w:tblGrid>
      <w:tr w:rsidR="00410DA0" w:rsidRPr="000348C5" w:rsidTr="007C32F0">
        <w:trPr>
          <w:trHeight w:val="1532"/>
        </w:trPr>
        <w:tc>
          <w:tcPr>
            <w:tcW w:w="4536" w:type="dxa"/>
          </w:tcPr>
          <w:p w:rsidR="007C32F0" w:rsidRDefault="007C32F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7C32F0" w:rsidRDefault="007C32F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410DA0" w:rsidRDefault="00410DA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 w:rsidRPr="000348C5">
              <w:rPr>
                <w:sz w:val="28"/>
                <w:szCs w:val="28"/>
                <w:lang w:eastAsia="ar-SA"/>
              </w:rPr>
              <w:t xml:space="preserve">Глава Анцирского сельсовета </w:t>
            </w:r>
          </w:p>
          <w:p w:rsidR="007C32F0" w:rsidRDefault="007C32F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7C32F0" w:rsidRDefault="007C32F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7C32F0" w:rsidRPr="000348C5" w:rsidRDefault="009E6D7C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</w:t>
            </w:r>
            <w:r w:rsidR="007C32F0" w:rsidRPr="000348C5">
              <w:rPr>
                <w:sz w:val="28"/>
                <w:szCs w:val="28"/>
                <w:lang w:eastAsia="ar-SA"/>
              </w:rPr>
              <w:t>В.А. Печерский</w:t>
            </w:r>
          </w:p>
        </w:tc>
        <w:tc>
          <w:tcPr>
            <w:tcW w:w="284" w:type="dxa"/>
          </w:tcPr>
          <w:p w:rsidR="00410DA0" w:rsidRPr="000348C5" w:rsidRDefault="00410DA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96" w:type="dxa"/>
          </w:tcPr>
          <w:p w:rsidR="00410DA0" w:rsidRPr="000348C5" w:rsidRDefault="00410DA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 w:rsidRPr="000348C5">
              <w:rPr>
                <w:sz w:val="28"/>
                <w:szCs w:val="28"/>
                <w:lang w:eastAsia="ar-SA"/>
              </w:rPr>
              <w:t xml:space="preserve">          </w:t>
            </w:r>
          </w:p>
          <w:p w:rsidR="007C32F0" w:rsidRDefault="007C32F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410DA0" w:rsidRPr="000348C5" w:rsidRDefault="00410DA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 w:rsidRPr="000348C5">
              <w:rPr>
                <w:sz w:val="28"/>
                <w:szCs w:val="28"/>
                <w:lang w:eastAsia="ar-SA"/>
              </w:rPr>
              <w:t xml:space="preserve">Председатель Анцирского </w:t>
            </w:r>
          </w:p>
          <w:p w:rsidR="00410DA0" w:rsidRPr="000348C5" w:rsidRDefault="00410DA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 w:rsidRPr="000348C5">
              <w:rPr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7C32F0" w:rsidRDefault="007C32F0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410DA0" w:rsidRPr="000348C5" w:rsidRDefault="009E6D7C" w:rsidP="007C32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</w:t>
            </w:r>
            <w:r w:rsidR="00CD556B">
              <w:rPr>
                <w:sz w:val="28"/>
                <w:szCs w:val="28"/>
                <w:lang w:eastAsia="ar-SA"/>
              </w:rPr>
              <w:t xml:space="preserve">                </w:t>
            </w:r>
            <w:r w:rsidR="007C32F0" w:rsidRPr="000348C5">
              <w:rPr>
                <w:sz w:val="28"/>
                <w:szCs w:val="28"/>
                <w:lang w:eastAsia="ar-SA"/>
              </w:rPr>
              <w:t>А.Ю. Титов</w:t>
            </w:r>
          </w:p>
        </w:tc>
      </w:tr>
      <w:bookmarkEnd w:id="0"/>
    </w:tbl>
    <w:p w:rsidR="009213B6" w:rsidRPr="000348C5" w:rsidRDefault="009213B6" w:rsidP="007C32F0">
      <w:pPr>
        <w:spacing w:line="216" w:lineRule="auto"/>
        <w:rPr>
          <w:sz w:val="28"/>
          <w:szCs w:val="28"/>
        </w:rPr>
      </w:pPr>
    </w:p>
    <w:sectPr w:rsidR="009213B6" w:rsidRPr="000348C5" w:rsidSect="007C32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065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5486" w:hanging="1800"/>
      </w:p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</w:lvl>
  </w:abstractNum>
  <w:abstractNum w:abstractNumId="1">
    <w:nsid w:val="4E8508E6"/>
    <w:multiLevelType w:val="hybridMultilevel"/>
    <w:tmpl w:val="01C2B2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4CC"/>
    <w:rsid w:val="000348C5"/>
    <w:rsid w:val="000906E1"/>
    <w:rsid w:val="001B161C"/>
    <w:rsid w:val="0022251D"/>
    <w:rsid w:val="00410DA0"/>
    <w:rsid w:val="004C64CC"/>
    <w:rsid w:val="00735230"/>
    <w:rsid w:val="007C32F0"/>
    <w:rsid w:val="0080267D"/>
    <w:rsid w:val="00853E7E"/>
    <w:rsid w:val="00875498"/>
    <w:rsid w:val="009213B6"/>
    <w:rsid w:val="009E6D7C"/>
    <w:rsid w:val="00CD556B"/>
    <w:rsid w:val="00E07CA4"/>
    <w:rsid w:val="00E2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DA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10D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0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DA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10D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0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14D5-A236-455E-8904-420AB17C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11</cp:revision>
  <cp:lastPrinted>2025-02-27T07:10:00Z</cp:lastPrinted>
  <dcterms:created xsi:type="dcterms:W3CDTF">2025-02-11T05:37:00Z</dcterms:created>
  <dcterms:modified xsi:type="dcterms:W3CDTF">2025-02-27T07:10:00Z</dcterms:modified>
</cp:coreProperties>
</file>